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09" w:rsidRDefault="004C2809">
      <w:pPr>
        <w:pStyle w:val="ConsPlusTitlePage"/>
      </w:pPr>
      <w:bookmarkStart w:id="0" w:name="_GoBack"/>
      <w:bookmarkEnd w:id="0"/>
      <w:r>
        <w:br/>
      </w:r>
    </w:p>
    <w:p w:rsidR="004C2809" w:rsidRDefault="004C2809">
      <w:pPr>
        <w:pStyle w:val="ConsPlusNormal"/>
        <w:jc w:val="both"/>
        <w:outlineLvl w:val="0"/>
      </w:pPr>
    </w:p>
    <w:p w:rsidR="004C2809" w:rsidRDefault="004C280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2809" w:rsidRDefault="004C2809">
      <w:pPr>
        <w:pStyle w:val="ConsPlusTitle"/>
        <w:jc w:val="center"/>
      </w:pPr>
    </w:p>
    <w:p w:rsidR="004C2809" w:rsidRDefault="004C2809">
      <w:pPr>
        <w:pStyle w:val="ConsPlusTitle"/>
        <w:jc w:val="center"/>
      </w:pPr>
      <w:r>
        <w:t>ПОСТАНОВЛЕНИЕ</w:t>
      </w:r>
    </w:p>
    <w:p w:rsidR="004C2809" w:rsidRDefault="004C2809">
      <w:pPr>
        <w:pStyle w:val="ConsPlusTitle"/>
        <w:jc w:val="center"/>
      </w:pPr>
      <w:r>
        <w:t>от 23 мая 2020 г. N 741</w:t>
      </w:r>
    </w:p>
    <w:p w:rsidR="004C2809" w:rsidRDefault="004C2809">
      <w:pPr>
        <w:pStyle w:val="ConsPlusTitle"/>
        <w:jc w:val="center"/>
      </w:pPr>
    </w:p>
    <w:p w:rsidR="004C2809" w:rsidRDefault="004C2809">
      <w:pPr>
        <w:pStyle w:val="ConsPlusTitle"/>
        <w:jc w:val="center"/>
      </w:pPr>
      <w:r>
        <w:t>ОБ УТВЕРЖДЕНИИ ПРАВИЛ</w:t>
      </w:r>
    </w:p>
    <w:p w:rsidR="004C2809" w:rsidRDefault="004C2809">
      <w:pPr>
        <w:pStyle w:val="ConsPlusTitle"/>
        <w:jc w:val="center"/>
      </w:pPr>
      <w:r>
        <w:t>ОРГАНИЗАЦИИ И ПРОВЕДЕНИЯ ТЕХНИЧЕСКОГО ОСМОТРА АВТОБУСОВ</w:t>
      </w:r>
    </w:p>
    <w:p w:rsidR="004C2809" w:rsidRDefault="004C28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C28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2809" w:rsidRDefault="004C280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15.09.2020 </w:t>
            </w:r>
            <w:hyperlink r:id="rId4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5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09.12.2023 </w:t>
            </w:r>
            <w:hyperlink r:id="rId6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организации и проведения технического осмотра автобусов.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вступления в силу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 и действует до 1 марта 2027 г.</w:t>
      </w:r>
    </w:p>
    <w:p w:rsidR="004C2809" w:rsidRDefault="004C280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09.03.2022 N 306)</w:t>
      </w: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right"/>
      </w:pPr>
      <w:r>
        <w:t>Председатель Правительства</w:t>
      </w:r>
    </w:p>
    <w:p w:rsidR="004C2809" w:rsidRDefault="004C2809">
      <w:pPr>
        <w:pStyle w:val="ConsPlusNormal"/>
        <w:jc w:val="right"/>
      </w:pPr>
      <w:r>
        <w:t>Российской Федерации</w:t>
      </w:r>
    </w:p>
    <w:p w:rsidR="004C2809" w:rsidRDefault="004C2809">
      <w:pPr>
        <w:pStyle w:val="ConsPlusNormal"/>
        <w:jc w:val="right"/>
      </w:pPr>
      <w:r>
        <w:t>М.МИШУСТИН</w:t>
      </w: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right"/>
        <w:outlineLvl w:val="0"/>
      </w:pPr>
      <w:r>
        <w:t>Утверждены</w:t>
      </w:r>
    </w:p>
    <w:p w:rsidR="004C2809" w:rsidRDefault="004C2809">
      <w:pPr>
        <w:pStyle w:val="ConsPlusNormal"/>
        <w:jc w:val="right"/>
      </w:pPr>
      <w:r>
        <w:t>постановлением Правительства</w:t>
      </w:r>
    </w:p>
    <w:p w:rsidR="004C2809" w:rsidRDefault="004C2809">
      <w:pPr>
        <w:pStyle w:val="ConsPlusNormal"/>
        <w:jc w:val="right"/>
      </w:pPr>
      <w:r>
        <w:t>Российской Федерации</w:t>
      </w:r>
    </w:p>
    <w:p w:rsidR="004C2809" w:rsidRDefault="004C2809">
      <w:pPr>
        <w:pStyle w:val="ConsPlusNormal"/>
        <w:jc w:val="right"/>
      </w:pPr>
      <w:r>
        <w:t>от 23 мая 2020 г. N 741</w:t>
      </w: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Title"/>
        <w:jc w:val="center"/>
      </w:pPr>
      <w:bookmarkStart w:id="1" w:name="P30"/>
      <w:bookmarkEnd w:id="1"/>
      <w:r>
        <w:t>ПРАВИЛА</w:t>
      </w:r>
    </w:p>
    <w:p w:rsidR="004C2809" w:rsidRDefault="004C2809">
      <w:pPr>
        <w:pStyle w:val="ConsPlusTitle"/>
        <w:jc w:val="center"/>
      </w:pPr>
      <w:r>
        <w:t>ОРГАНИЗАЦИИ И ПРОВЕДЕНИЯ ТЕХНИЧЕСКОГО ОСМОТРА АВТОБУСОВ</w:t>
      </w:r>
    </w:p>
    <w:p w:rsidR="004C2809" w:rsidRDefault="004C28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C28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2809" w:rsidRDefault="004C280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15.09.2020 </w:t>
            </w:r>
            <w:hyperlink r:id="rId10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09.03.2022 </w:t>
            </w:r>
            <w:hyperlink r:id="rId1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 xml:space="preserve">, от 09.12.2023 </w:t>
            </w:r>
            <w:hyperlink r:id="rId12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ind w:firstLine="540"/>
        <w:jc w:val="both"/>
      </w:pPr>
      <w:r>
        <w:t>1. Настоящие Правила устанавливают порядок организации и проведения технического осмотра автобусов.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2. В настоящих Правилах под автобусами понимаются транспортные средства категорий М</w:t>
      </w:r>
      <w:proofErr w:type="gramStart"/>
      <w:r>
        <w:rPr>
          <w:vertAlign w:val="subscript"/>
        </w:rPr>
        <w:t>2</w:t>
      </w:r>
      <w:proofErr w:type="gramEnd"/>
      <w:r>
        <w:t xml:space="preserve"> и М</w:t>
      </w:r>
      <w:r>
        <w:rPr>
          <w:vertAlign w:val="subscript"/>
        </w:rPr>
        <w:t>3</w:t>
      </w:r>
      <w:r>
        <w:t xml:space="preserve">, подлежащие государственной регистрации в подразделениях Государственной инспекции </w:t>
      </w:r>
      <w:r>
        <w:lastRenderedPageBreak/>
        <w:t>безопасности дорожного движения Министерства внутренних дел Российской Федерации.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3. Настоящие Правила не применяются к отношениям, связанным с проведением технического осмотра автобусов органов, осуществляющих оперативно-розыскную деятельность, имеющих особенности конструкции и (или) специально оборудованных для решения задач оперативно-розыскной деятельности.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Технический осмотр автобусов проводится в порядке, предусмотренном </w:t>
      </w:r>
      <w:hyperlink r:id="rId13">
        <w:r>
          <w:rPr>
            <w:color w:val="0000FF"/>
          </w:rPr>
          <w:t>Правилами</w:t>
        </w:r>
      </w:hyperlink>
      <w:r>
        <w:t xml:space="preserve">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(далее - Правила проведения технического осмотра), с учетом требований настоящих Правил.</w:t>
      </w:r>
      <w:proofErr w:type="gramEnd"/>
    </w:p>
    <w:p w:rsidR="004C2809" w:rsidRDefault="004C280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15.09.2020 N 1434)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5. Технический осмотр автобусов, в том числе повторный, проводится оператором технического осмотра, аккредитованным в установленном порядке для проведения технического осмотра в области аккредитации, соответствующей категориям транспортных средств М</w:t>
      </w:r>
      <w:proofErr w:type="gramStart"/>
      <w:r>
        <w:rPr>
          <w:vertAlign w:val="subscript"/>
        </w:rPr>
        <w:t>2</w:t>
      </w:r>
      <w:proofErr w:type="gramEnd"/>
      <w:r>
        <w:t xml:space="preserve"> и М</w:t>
      </w:r>
      <w:r>
        <w:rPr>
          <w:vertAlign w:val="subscript"/>
        </w:rPr>
        <w:t>3</w:t>
      </w:r>
      <w:r>
        <w:t xml:space="preserve"> (далее - оператор технического осмотра), с участием сотрудника подразделения Государственной инспекции безопасности дорожного движения Министерства внутренних дел Российской Федерации, на которого возложены обязанности по участию в проведении технического осмотра автобусов (далее - уполномоченный </w:t>
      </w:r>
      <w:proofErr w:type="gramStart"/>
      <w:r>
        <w:t>сотрудник, участвующий в проведении технического осмотра автобусов), в соответствии с графиком предварительной записи, формируемым оператором технического осмотра совместно с уполномоченным сотрудником, участвующим в проведении технического осмотра автобусов, в свободном формате в режиме реального времени на официальном сайте оператора технического осмотра в информационно-телекоммуникационной сети "Интернет" на основании заявок, представляемых владельцами автобусов (далее соответственно - график, заявка).</w:t>
      </w:r>
      <w:proofErr w:type="gramEnd"/>
    </w:p>
    <w:p w:rsidR="004C2809" w:rsidRDefault="004C2809">
      <w:pPr>
        <w:pStyle w:val="ConsPlusNormal"/>
        <w:spacing w:before="220"/>
        <w:ind w:firstLine="540"/>
        <w:jc w:val="both"/>
      </w:pPr>
      <w:bookmarkStart w:id="2" w:name="P42"/>
      <w:bookmarkEnd w:id="2"/>
      <w:r>
        <w:t xml:space="preserve">6. </w:t>
      </w:r>
      <w:proofErr w:type="gramStart"/>
      <w:r>
        <w:t>Владелец автобуса посредством телефонной связи и (или) по электронной почте обращается к любому оператору технического осмотра в любой пункт технического осмотра вне зависимости от места государственной регистрации автобуса и представляет заявку, содержащую информацию о желаемой дате прохождения технического осмотра, сведения о марке, модели, идентификационном номере (номере кузова или шасси - в случае отсутствия идентификационного номера) и государственном регистрационном номере (при наличии</w:t>
      </w:r>
      <w:proofErr w:type="gramEnd"/>
      <w:r>
        <w:t>) автобуса, а также сведения о номерах телефонов и (или) адресах электронной почты для информирования владельца автобуса о принятом в отношении заявки решении (далее - заявитель).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7. Решение о включении заявки в график или о невозможности ее включения в график и информирование заявителя о принятом в отношении заявки решении осуществляется оператором технического осмотра в течение 1 рабочего дня со дня поступления заявки к оператору технического осмотра.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3" w:name="P44"/>
      <w:bookmarkEnd w:id="3"/>
      <w:r>
        <w:t xml:space="preserve">7(1). В случае невозможности представления для проведения технического </w:t>
      </w:r>
      <w:proofErr w:type="gramStart"/>
      <w:r>
        <w:t>осмотра</w:t>
      </w:r>
      <w:proofErr w:type="gramEnd"/>
      <w:r>
        <w:t xml:space="preserve"> включенного в график автобуса допускается его замена на иной автобус на основании заявки, представленной его владельцем.</w:t>
      </w:r>
    </w:p>
    <w:p w:rsidR="004C2809" w:rsidRDefault="004C2809">
      <w:pPr>
        <w:pStyle w:val="ConsPlusNormal"/>
        <w:jc w:val="both"/>
      </w:pPr>
      <w:r>
        <w:t xml:space="preserve">(п. 7(1) </w:t>
      </w:r>
      <w:proofErr w:type="gramStart"/>
      <w:r>
        <w:t>введен</w:t>
      </w:r>
      <w:proofErr w:type="gramEnd"/>
      <w:r>
        <w:t xml:space="preserve">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РФ от 09.12.2023 N 2092)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Решение о невозможности включения заявки в график принимается в случае непредставления заявителем в полном объеме сведений, указанных в </w:t>
      </w:r>
      <w:hyperlink w:anchor="P42">
        <w:r>
          <w:rPr>
            <w:color w:val="0000FF"/>
          </w:rPr>
          <w:t>пункте 6</w:t>
        </w:r>
      </w:hyperlink>
      <w:r>
        <w:t xml:space="preserve"> настоящих Правил, и (или) отсутствия в графике свободного времени для прохождения технического осмотра в желаемую дату, указанную в заявке.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8. Проведение технического осмотра автобусов осуществляется не ранее чем через 5 рабочих дней со дня поступления к оператору технического осмотра заявки, в отношении которой </w:t>
      </w:r>
      <w:r>
        <w:lastRenderedPageBreak/>
        <w:t xml:space="preserve">принято решение о ее включении в график, за исключением случаев, предусмотренных </w:t>
      </w:r>
      <w:hyperlink w:anchor="P44">
        <w:r>
          <w:rPr>
            <w:color w:val="0000FF"/>
          </w:rPr>
          <w:t>пунктом 7(1)</w:t>
        </w:r>
      </w:hyperlink>
      <w:r>
        <w:t xml:space="preserve"> настоящих Правил и </w:t>
      </w:r>
      <w:hyperlink w:anchor="P49">
        <w:r>
          <w:rPr>
            <w:color w:val="0000FF"/>
          </w:rPr>
          <w:t>абзацем вторым</w:t>
        </w:r>
      </w:hyperlink>
      <w:r>
        <w:t xml:space="preserve"> настоящего пункта.</w:t>
      </w:r>
    </w:p>
    <w:p w:rsidR="004C2809" w:rsidRDefault="004C280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09.12.2023 N 2092)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4" w:name="P49"/>
      <w:bookmarkEnd w:id="4"/>
      <w:r>
        <w:t xml:space="preserve">Проведение повторного технического осмотра автобуса может осуществляться </w:t>
      </w:r>
      <w:proofErr w:type="gramStart"/>
      <w:r>
        <w:t>ранее</w:t>
      </w:r>
      <w:proofErr w:type="gramEnd"/>
      <w:r>
        <w:t xml:space="preserve"> чем через 5 рабочих дней со дня поступления к оператору технического осмотра заявки, в том числе в день ее подачи заявителем, при условии наличия в графике свободного времени для прохождения технического осмотра в желаемую дату, указанную в заявке.</w:t>
      </w:r>
    </w:p>
    <w:p w:rsidR="004C2809" w:rsidRDefault="004C2809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РФ от 09.12.2023 N 2092)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9. Уполномоченный сотрудник, участвующий в проведении технического осмотра автобусов, осуществляет предусмотренные настоящими Правилами действия в пунктах технического осмотра (на передвижных диагностических линиях), расположенных на территории субъекта Российской Федерации, в котором проходит службу, в день, предусмотренный графиком, и в пределах продолжительности его рабочего времени.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10. Оператор технического осмотра обеспечивает доступ уполномоченного сотрудника, участвующего в проведении технического осмотра автобусов, в пункт технического осмотра (на передвижную диагностическую линию), а также к показаниям средств технического диагностирования линии технического осмотра (передвижной диагностической линии) оператора технического осмотра.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5" w:name="P53"/>
      <w:bookmarkEnd w:id="5"/>
      <w:r>
        <w:t>11. При проведении технического осмотра автобусов техническим экспертом оператора технического осмотра в присутствии уполномоченного сотрудника, участвующего в проведении технического осмотра автобусов, проводится техническое диагностирование с использованием средств технического диагностирования утвержденного типа, внесенных в Федеральный информационный фонд по обеспечению единства измерений и прошедших поверку в установленном порядке.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Результаты технического диагностирования технический эксперт вносит в сформированную им в единой автоматизированной информационной системе технического осмотра диагностическую карту согласно </w:t>
      </w:r>
      <w:hyperlink w:anchor="P72">
        <w:r>
          <w:rPr>
            <w:color w:val="0000FF"/>
          </w:rPr>
          <w:t>приложению</w:t>
        </w:r>
      </w:hyperlink>
      <w:r>
        <w:t>.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6" w:name="P55"/>
      <w:bookmarkEnd w:id="6"/>
      <w:r>
        <w:t xml:space="preserve">12. В ходе проведения технического осмотра автобусов уполномоченный сотрудник, участвующий в проведении технического осмотра, проверяет с обязательным применением видеозаписи, осуществляемой цифровой аппаратурой (в том числе носимыми </w:t>
      </w:r>
      <w:proofErr w:type="spellStart"/>
      <w:r>
        <w:t>видеорегистраторами</w:t>
      </w:r>
      <w:proofErr w:type="spellEnd"/>
      <w:r>
        <w:t>, видеокамерами, фотоаппаратами с функцией видеозаписи):</w:t>
      </w:r>
    </w:p>
    <w:p w:rsidR="004C2809" w:rsidRDefault="004C280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09.12.2023 N 2092)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а) соответствие результатов технического диагностирования требованиям к транспортным средствам категории М</w:t>
      </w:r>
      <w:proofErr w:type="gramStart"/>
      <w:r>
        <w:rPr>
          <w:vertAlign w:val="subscript"/>
        </w:rPr>
        <w:t>2</w:t>
      </w:r>
      <w:proofErr w:type="gramEnd"/>
      <w:r>
        <w:t xml:space="preserve"> или М</w:t>
      </w:r>
      <w:r>
        <w:rPr>
          <w:vertAlign w:val="subscript"/>
        </w:rPr>
        <w:t>3</w:t>
      </w:r>
      <w:r>
        <w:t xml:space="preserve">, указанным в </w:t>
      </w:r>
      <w:hyperlink r:id="rId19">
        <w:r>
          <w:rPr>
            <w:color w:val="0000FF"/>
          </w:rPr>
          <w:t>приложении N 1</w:t>
        </w:r>
      </w:hyperlink>
      <w:r>
        <w:t xml:space="preserve"> к Правилам проведения технического осмотра;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>б) соответствие автобуса данным, указанным в свидетельстве о регистрации транспортного средства или паспорте транспортного средства (электронном паспорте транспортного средства), а также в государственном реестре транспортных средств.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После осуществления действий, предусмотренных </w:t>
      </w:r>
      <w:hyperlink w:anchor="P53">
        <w:r>
          <w:rPr>
            <w:color w:val="0000FF"/>
          </w:rPr>
          <w:t>пунктами 11</w:t>
        </w:r>
      </w:hyperlink>
      <w:r>
        <w:t xml:space="preserve"> и </w:t>
      </w:r>
      <w:hyperlink w:anchor="P55">
        <w:r>
          <w:rPr>
            <w:color w:val="0000FF"/>
          </w:rPr>
          <w:t>12</w:t>
        </w:r>
      </w:hyperlink>
      <w:r>
        <w:t xml:space="preserve"> настоящих Правил, уполномоченный сотрудник, участвующий в проведении технического осмотра, вносит в сформированную техническим экспертом оператора технического осмотра в единой автоматизированной информационной системе технического осмотра диагностическую карту 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 и удостоверяет запись усиленной</w:t>
      </w:r>
      <w:proofErr w:type="gramEnd"/>
      <w:r>
        <w:t xml:space="preserve"> квалифицированной электронной подписью.</w:t>
      </w:r>
    </w:p>
    <w:p w:rsidR="004C2809" w:rsidRDefault="004C2809">
      <w:pPr>
        <w:pStyle w:val="ConsPlusNormal"/>
        <w:spacing w:before="220"/>
        <w:ind w:firstLine="540"/>
        <w:jc w:val="both"/>
      </w:pPr>
      <w:r>
        <w:lastRenderedPageBreak/>
        <w:t xml:space="preserve">14. </w:t>
      </w:r>
      <w:proofErr w:type="gramStart"/>
      <w:r>
        <w:t xml:space="preserve">Автобус, в отношении которого оформлена диагностическая карта, содержащая заключение о несоответствии его обязательным требованиям безопасности транспортных средств (не подтверждающая допуск к участию в дорожном движении), подлежит повторному техническому осмотру, проводимому в порядке, предусмотренном </w:t>
      </w:r>
      <w:hyperlink r:id="rId20">
        <w:r>
          <w:rPr>
            <w:color w:val="0000FF"/>
          </w:rPr>
          <w:t>Правилами</w:t>
        </w:r>
      </w:hyperlink>
      <w:r>
        <w:t xml:space="preserve"> проведения технического осмотра, с учетом требований настоящих Правил, а также с учетом особенностей, установленных </w:t>
      </w:r>
      <w:hyperlink r:id="rId21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</w:t>
      </w:r>
      <w:proofErr w:type="gramEnd"/>
      <w:r>
        <w:t xml:space="preserve"> изменений в отдельные законодательные акты Российской Федерации".</w:t>
      </w: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jc w:val="right"/>
        <w:outlineLvl w:val="1"/>
      </w:pPr>
      <w:r>
        <w:t>Приложение</w:t>
      </w:r>
    </w:p>
    <w:p w:rsidR="004C2809" w:rsidRDefault="004C2809">
      <w:pPr>
        <w:pStyle w:val="ConsPlusNormal"/>
        <w:jc w:val="right"/>
      </w:pPr>
      <w:r>
        <w:t>к Правилам организации и проведения</w:t>
      </w:r>
    </w:p>
    <w:p w:rsidR="004C2809" w:rsidRDefault="004C2809">
      <w:pPr>
        <w:pStyle w:val="ConsPlusNormal"/>
        <w:jc w:val="right"/>
      </w:pPr>
      <w:r>
        <w:t>технического осмотра автобусов</w:t>
      </w:r>
    </w:p>
    <w:p w:rsidR="004C2809" w:rsidRDefault="004C28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C280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2809" w:rsidRDefault="004C28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09.03.2022 N 306)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p w:rsidR="004C2809" w:rsidRPr="00CE33A4" w:rsidRDefault="004C2809">
      <w:pPr>
        <w:pStyle w:val="ConsPlusNormal"/>
        <w:jc w:val="center"/>
        <w:rPr>
          <w:lang w:val="en-US"/>
        </w:rPr>
      </w:pPr>
      <w:bookmarkStart w:id="7" w:name="P72"/>
      <w:bookmarkEnd w:id="7"/>
      <w:r>
        <w:t>ДИАГНОСТИЧЕСКАЯ</w:t>
      </w:r>
      <w:r w:rsidRPr="00CE33A4">
        <w:rPr>
          <w:lang w:val="en-US"/>
        </w:rPr>
        <w:t xml:space="preserve"> </w:t>
      </w:r>
      <w:r>
        <w:t>КАРТА</w:t>
      </w:r>
    </w:p>
    <w:p w:rsidR="004C2809" w:rsidRPr="00CE33A4" w:rsidRDefault="004C2809">
      <w:pPr>
        <w:pStyle w:val="ConsPlusNormal"/>
        <w:jc w:val="both"/>
        <w:rPr>
          <w:lang w:val="en-US"/>
        </w:rPr>
      </w:pPr>
    </w:p>
    <w:p w:rsidR="004C2809" w:rsidRPr="00CE33A4" w:rsidRDefault="004C2809">
      <w:pPr>
        <w:pStyle w:val="ConsPlusNormal"/>
        <w:jc w:val="center"/>
        <w:rPr>
          <w:lang w:val="en-US"/>
        </w:rPr>
      </w:pPr>
      <w:r w:rsidRPr="00CE33A4">
        <w:rPr>
          <w:lang w:val="en-US"/>
        </w:rPr>
        <w:t>Certificate of periodic technical inspection</w:t>
      </w:r>
    </w:p>
    <w:p w:rsidR="004C2809" w:rsidRPr="00CE33A4" w:rsidRDefault="004C2809">
      <w:pPr>
        <w:pStyle w:val="ConsPlusNormal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4C2809">
        <w:tc>
          <w:tcPr>
            <w:tcW w:w="5780" w:type="dxa"/>
            <w:gridSpan w:val="17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Регистрационный номер</w:t>
            </w:r>
          </w:p>
        </w:tc>
        <w:tc>
          <w:tcPr>
            <w:tcW w:w="3400" w:type="dxa"/>
            <w:gridSpan w:val="10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 xml:space="preserve">Срок действия </w:t>
            </w:r>
            <w:proofErr w:type="gramStart"/>
            <w:r>
              <w:t>до</w:t>
            </w:r>
            <w:proofErr w:type="gramEnd"/>
          </w:p>
        </w:tc>
      </w:tr>
      <w:tr w:rsidR="004C2809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780" w:type="dxa"/>
            <w:gridSpan w:val="17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41"/>
        <w:gridCol w:w="373"/>
        <w:gridCol w:w="340"/>
        <w:gridCol w:w="2665"/>
        <w:gridCol w:w="2702"/>
        <w:gridCol w:w="340"/>
        <w:gridCol w:w="567"/>
      </w:tblGrid>
      <w:tr w:rsidR="004C2809">
        <w:tc>
          <w:tcPr>
            <w:tcW w:w="9028" w:type="dxa"/>
            <w:gridSpan w:val="7"/>
          </w:tcPr>
          <w:p w:rsidR="004C2809" w:rsidRDefault="004C2809">
            <w:pPr>
              <w:pStyle w:val="ConsPlusNormal"/>
              <w:jc w:val="both"/>
            </w:pPr>
            <w:r>
              <w:t>Оператор технического осмотра: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Пункт технического осмотра (передвижная диагностическая линия):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top w:val="nil"/>
            </w:tcBorders>
          </w:tcPr>
          <w:p w:rsidR="004C2809" w:rsidRDefault="004C2809">
            <w:pPr>
              <w:pStyle w:val="ConsPlusNormal"/>
              <w:jc w:val="both"/>
            </w:pPr>
          </w:p>
        </w:tc>
      </w:tr>
      <w:tr w:rsidR="004C2809">
        <w:tc>
          <w:tcPr>
            <w:tcW w:w="2414" w:type="dxa"/>
            <w:gridSpan w:val="2"/>
          </w:tcPr>
          <w:p w:rsidR="004C2809" w:rsidRDefault="004C2809">
            <w:pPr>
              <w:pStyle w:val="ConsPlusNormal"/>
              <w:jc w:val="both"/>
            </w:pPr>
            <w:r>
              <w:t>Первичная проверка</w:t>
            </w: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266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2702" w:type="dxa"/>
          </w:tcPr>
          <w:p w:rsidR="004C2809" w:rsidRDefault="004C2809">
            <w:pPr>
              <w:pStyle w:val="ConsPlusNormal"/>
              <w:jc w:val="both"/>
            </w:pPr>
            <w:r>
              <w:t>Повторная проверка</w:t>
            </w: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5419" w:type="dxa"/>
            <w:gridSpan w:val="4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Регистрационный номер ТС:</w:t>
            </w:r>
          </w:p>
        </w:tc>
        <w:tc>
          <w:tcPr>
            <w:tcW w:w="3609" w:type="dxa"/>
            <w:gridSpan w:val="3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Марка, модель ТС: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5419" w:type="dxa"/>
            <w:gridSpan w:val="4"/>
            <w:tcBorders>
              <w:top w:val="nil"/>
            </w:tcBorders>
          </w:tcPr>
          <w:p w:rsidR="004C2809" w:rsidRDefault="004C2809">
            <w:pPr>
              <w:pStyle w:val="ConsPlusNormal"/>
              <w:jc w:val="both"/>
            </w:pPr>
          </w:p>
        </w:tc>
        <w:tc>
          <w:tcPr>
            <w:tcW w:w="3609" w:type="dxa"/>
            <w:gridSpan w:val="3"/>
            <w:tcBorders>
              <w:top w:val="nil"/>
            </w:tcBorders>
          </w:tcPr>
          <w:p w:rsidR="004C2809" w:rsidRDefault="004C2809">
            <w:pPr>
              <w:pStyle w:val="ConsPlusNormal"/>
              <w:jc w:val="both"/>
            </w:pPr>
          </w:p>
        </w:tc>
      </w:tr>
      <w:tr w:rsidR="004C2809">
        <w:tc>
          <w:tcPr>
            <w:tcW w:w="2041" w:type="dxa"/>
          </w:tcPr>
          <w:p w:rsidR="004C2809" w:rsidRDefault="004C2809">
            <w:pPr>
              <w:pStyle w:val="ConsPlusNormal"/>
              <w:jc w:val="both"/>
            </w:pPr>
            <w:r>
              <w:t>VIN</w:t>
            </w:r>
          </w:p>
        </w:tc>
        <w:tc>
          <w:tcPr>
            <w:tcW w:w="3378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3609" w:type="dxa"/>
            <w:gridSpan w:val="3"/>
          </w:tcPr>
          <w:p w:rsidR="004C2809" w:rsidRDefault="004C2809">
            <w:pPr>
              <w:pStyle w:val="ConsPlusNormal"/>
              <w:jc w:val="both"/>
            </w:pPr>
            <w:r>
              <w:t>Категория ТС:</w:t>
            </w:r>
          </w:p>
        </w:tc>
      </w:tr>
      <w:tr w:rsidR="004C2809">
        <w:tc>
          <w:tcPr>
            <w:tcW w:w="2041" w:type="dxa"/>
          </w:tcPr>
          <w:p w:rsidR="004C2809" w:rsidRDefault="004C2809">
            <w:pPr>
              <w:pStyle w:val="ConsPlusNormal"/>
              <w:jc w:val="both"/>
            </w:pPr>
            <w:r>
              <w:t>Номер рамы</w:t>
            </w:r>
          </w:p>
        </w:tc>
        <w:tc>
          <w:tcPr>
            <w:tcW w:w="3378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3609" w:type="dxa"/>
            <w:gridSpan w:val="3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Год выпуска ТС:</w:t>
            </w:r>
          </w:p>
        </w:tc>
      </w:tr>
      <w:tr w:rsidR="004C2809">
        <w:tc>
          <w:tcPr>
            <w:tcW w:w="2041" w:type="dxa"/>
          </w:tcPr>
          <w:p w:rsidR="004C2809" w:rsidRDefault="004C2809">
            <w:pPr>
              <w:pStyle w:val="ConsPlusNormal"/>
              <w:jc w:val="both"/>
            </w:pPr>
            <w:r>
              <w:t>Номер кузова</w:t>
            </w:r>
          </w:p>
        </w:tc>
        <w:tc>
          <w:tcPr>
            <w:tcW w:w="3378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3609" w:type="dxa"/>
            <w:gridSpan w:val="3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СРТС или ПТС (ЭПТС) (серия, номер, выдан (оформлен) кем, когда):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proofErr w:type="spellStart"/>
            <w:r>
              <w:t>Тахограф</w:t>
            </w:r>
            <w:proofErr w:type="spellEnd"/>
            <w:r>
              <w:t xml:space="preserve"> или контрольное устройство (</w:t>
            </w:r>
            <w:proofErr w:type="spellStart"/>
            <w:r>
              <w:t>тахограф</w:t>
            </w:r>
            <w:proofErr w:type="spellEnd"/>
            <w:r>
              <w:t>) (марка, модель, серийный номер):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28" w:type="dxa"/>
            <w:gridSpan w:val="7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84"/>
        <w:gridCol w:w="340"/>
        <w:gridCol w:w="567"/>
        <w:gridCol w:w="2211"/>
        <w:gridCol w:w="340"/>
        <w:gridCol w:w="567"/>
        <w:gridCol w:w="2154"/>
        <w:gridCol w:w="340"/>
      </w:tblGrid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 xml:space="preserve">N </w:t>
            </w:r>
            <w:hyperlink w:anchor="P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</w:tcPr>
          <w:p w:rsidR="004C2809" w:rsidRDefault="004C2809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 xml:space="preserve">N </w:t>
            </w:r>
            <w:hyperlink w:anchor="P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1" w:type="dxa"/>
          </w:tcPr>
          <w:p w:rsidR="004C2809" w:rsidRDefault="004C2809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 xml:space="preserve">N </w:t>
            </w:r>
            <w:hyperlink w:anchor="P44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54" w:type="dxa"/>
          </w:tcPr>
          <w:p w:rsidR="004C2809" w:rsidRDefault="004C2809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891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Наличие и расположение внешних световых приборов в местах, предусмотренных конструкцией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Соответствие источника света в фарах, формы, цвета и размера фар и их расположения. Наличие светоотражающей контурной маркировки, отсутствие ее повреждения и отслоения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 xml:space="preserve">Отсутствие продольного люфта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прицепом тягача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 xml:space="preserve">Работоспособность рабочей тормозной системы автопоездов с пневматическим тормозным приводом в режиме аварийного </w:t>
            </w:r>
            <w:r>
              <w:lastRenderedPageBreak/>
              <w:t>(автоматического) торможения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Надежное крепление поручней, запасного колеса, аккумуляторной батареи, сидений, огнетушителей и медицинской аптечки в автобусах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подтеканий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Соответствие высоты рисунка протектора шин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трещин или остаточной деформации деталей тормозного привода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  <w:vMerge w:val="restart"/>
          </w:tcPr>
          <w:p w:rsidR="004C2809" w:rsidRDefault="004C280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vMerge w:val="restart"/>
          </w:tcPr>
          <w:p w:rsidR="004C2809" w:rsidRDefault="004C2809">
            <w:pPr>
              <w:pStyle w:val="ConsPlusNormal"/>
            </w:pPr>
            <w:r>
              <w:t>Исправность средств сигнализации и контроля тормозных систем. Работоспособность устройства фиксации органа управления стояночной тормозной системы, манометров пневматического и пневмогидравлического тормозного привода</w:t>
            </w:r>
          </w:p>
        </w:tc>
        <w:tc>
          <w:tcPr>
            <w:tcW w:w="340" w:type="dxa"/>
            <w:vMerge w:val="restart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Отсутствие изменений в конструкции транспортного 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1984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Отсутствие трещин на дисках и ободьях колес, а также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Соответствие транспортных средств категорий M2 и M3 установленным дополнительным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Установка шин на транспортное средство в соответствии с требованиями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>Соответствие специальных и специализированных транспортных средств дополнительным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 xml:space="preserve">Расположение и </w:t>
            </w:r>
            <w:r>
              <w:lastRenderedPageBreak/>
              <w:t>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154" w:type="dxa"/>
          </w:tcPr>
          <w:p w:rsidR="004C2809" w:rsidRDefault="004C2809">
            <w:pPr>
              <w:pStyle w:val="ConsPlusNormal"/>
            </w:pPr>
            <w:r>
              <w:t xml:space="preserve">Наличие </w:t>
            </w:r>
            <w:r>
              <w:lastRenderedPageBreak/>
              <w:t xml:space="preserve">работоспособного </w:t>
            </w:r>
            <w:proofErr w:type="spellStart"/>
            <w:r>
              <w:t>тахографа</w:t>
            </w:r>
            <w:proofErr w:type="spellEnd"/>
            <w:r>
              <w:t xml:space="preserve"> или работоспособного контрольного устройства (</w:t>
            </w:r>
            <w:proofErr w:type="spellStart"/>
            <w:r>
              <w:t>тахографа</w:t>
            </w:r>
            <w:proofErr w:type="spellEnd"/>
            <w:r>
              <w:t>)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2891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lastRenderedPageBreak/>
              <w:t>II. Рулевое управление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подтекания</w:t>
            </w:r>
            <w:proofErr w:type="spellEnd"/>
            <w:r>
              <w:t xml:space="preserve"> и каплепадения топлива в системе питания, а также подсоса воздуха и (или) утечки отработавших газов, минуя систему выпуска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 xml:space="preserve">Отсутствие повреждения и полная комплектность </w:t>
            </w:r>
            <w:r>
              <w:lastRenderedPageBreak/>
              <w:t>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118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  <w:vMerge w:val="restart"/>
          </w:tcPr>
          <w:p w:rsidR="004C2809" w:rsidRDefault="004C2809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984" w:type="dxa"/>
            <w:vMerge w:val="restart"/>
          </w:tcPr>
          <w:p w:rsidR="004C2809" w:rsidRDefault="004C2809">
            <w:pPr>
              <w:pStyle w:val="ConsPlusNormal"/>
            </w:pPr>
            <w:r>
              <w:t>Отсутствие следов остаточной деформации, 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</w:t>
            </w:r>
          </w:p>
        </w:tc>
        <w:tc>
          <w:tcPr>
            <w:tcW w:w="340" w:type="dxa"/>
            <w:vMerge w:val="restart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Наличие зеркал заднего вида в соответствии с требованиями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1984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Соответствие нормам светопропускания ветрового стекла и стекол, через которые обеспечивается передняя обзорность для водителя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Отсутствие не предусмотренных конструкцией устройств, ограничивающих поворот рулевого колеса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2891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211" w:type="dxa"/>
          </w:tcPr>
          <w:p w:rsidR="004C2809" w:rsidRDefault="004C2809">
            <w:pPr>
              <w:pStyle w:val="ConsPlusNormal"/>
            </w:pPr>
            <w:r>
              <w:t>Работоспособность аварийного выключателя дверей, аварийных выходов и устрой</w:t>
            </w:r>
            <w:proofErr w:type="gramStart"/>
            <w:r>
              <w:t>ств пр</w:t>
            </w:r>
            <w:proofErr w:type="gramEnd"/>
            <w:r>
              <w:t xml:space="preserve">иведения их в действие. Наличие обозначений аварийных выходов и табличек по правилам их использования. </w:t>
            </w:r>
            <w:r>
              <w:lastRenderedPageBreak/>
              <w:t>Обеспечение свободного доступа к аварийным выходам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 w:val="restart"/>
          </w:tcPr>
          <w:p w:rsidR="004C2809" w:rsidRDefault="004C280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211" w:type="dxa"/>
            <w:vMerge w:val="restart"/>
          </w:tcPr>
          <w:p w:rsidR="004C2809" w:rsidRDefault="004C2809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  <w:vMerge w:val="restart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right w:val="none" w:sz="0" w:space="0" w:color="auto"/>
          </w:tblBorders>
        </w:tblPrEx>
        <w:tc>
          <w:tcPr>
            <w:tcW w:w="567" w:type="dxa"/>
          </w:tcPr>
          <w:p w:rsidR="004C2809" w:rsidRDefault="004C280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984" w:type="dxa"/>
          </w:tcPr>
          <w:p w:rsidR="004C2809" w:rsidRDefault="004C2809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2211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</w:tcPr>
          <w:p w:rsidR="004C2809" w:rsidRDefault="004C2809">
            <w:pPr>
              <w:pStyle w:val="ConsPlusNormal"/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47"/>
        <w:gridCol w:w="971"/>
        <w:gridCol w:w="340"/>
        <w:gridCol w:w="1077"/>
        <w:gridCol w:w="3855"/>
        <w:gridCol w:w="1568"/>
      </w:tblGrid>
      <w:tr w:rsidR="004C2809">
        <w:tc>
          <w:tcPr>
            <w:tcW w:w="9058" w:type="dxa"/>
            <w:gridSpan w:val="6"/>
          </w:tcPr>
          <w:p w:rsidR="004C2809" w:rsidRDefault="004C2809">
            <w:pPr>
              <w:pStyle w:val="ConsPlusNormal"/>
              <w:jc w:val="center"/>
              <w:outlineLvl w:val="2"/>
            </w:pPr>
            <w:r>
              <w:t>Результаты диагностирования</w:t>
            </w:r>
          </w:p>
        </w:tc>
      </w:tr>
      <w:tr w:rsidR="004C2809">
        <w:tc>
          <w:tcPr>
            <w:tcW w:w="7490" w:type="dxa"/>
            <w:gridSpan w:val="5"/>
          </w:tcPr>
          <w:p w:rsidR="004C2809" w:rsidRDefault="004C2809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1568" w:type="dxa"/>
            <w:vMerge w:val="restart"/>
          </w:tcPr>
          <w:p w:rsidR="004C2809" w:rsidRDefault="004C2809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077" w:type="dxa"/>
          </w:tcPr>
          <w:p w:rsidR="004C2809" w:rsidRDefault="004C2809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3855" w:type="dxa"/>
          </w:tcPr>
          <w:p w:rsidR="004C2809" w:rsidRDefault="004C2809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1568" w:type="dxa"/>
            <w:vMerge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124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311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107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3855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7490" w:type="dxa"/>
            <w:gridSpan w:val="5"/>
          </w:tcPr>
          <w:p w:rsidR="004C2809" w:rsidRDefault="004C2809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1568" w:type="dxa"/>
            <w:vMerge w:val="restart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1568" w:type="dxa"/>
            <w:vMerge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2218" w:type="dxa"/>
            <w:gridSpan w:val="2"/>
          </w:tcPr>
          <w:p w:rsidR="004C2809" w:rsidRDefault="004C2809">
            <w:pPr>
              <w:pStyle w:val="ConsPlusNormal"/>
            </w:pPr>
          </w:p>
        </w:tc>
        <w:tc>
          <w:tcPr>
            <w:tcW w:w="5272" w:type="dxa"/>
            <w:gridSpan w:val="3"/>
          </w:tcPr>
          <w:p w:rsidR="004C2809" w:rsidRDefault="004C2809">
            <w:pPr>
              <w:pStyle w:val="ConsPlusNormal"/>
            </w:pPr>
          </w:p>
        </w:tc>
        <w:tc>
          <w:tcPr>
            <w:tcW w:w="1568" w:type="dxa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9058" w:type="dxa"/>
            <w:gridSpan w:val="6"/>
          </w:tcPr>
          <w:p w:rsidR="004C2809" w:rsidRDefault="004C2809">
            <w:pPr>
              <w:pStyle w:val="ConsPlusNormal"/>
              <w:jc w:val="both"/>
            </w:pPr>
            <w:r>
              <w:t>Примечания:</w:t>
            </w:r>
          </w:p>
        </w:tc>
      </w:tr>
      <w:tr w:rsidR="004C2809">
        <w:tc>
          <w:tcPr>
            <w:tcW w:w="9058" w:type="dxa"/>
            <w:gridSpan w:val="6"/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1134"/>
        <w:gridCol w:w="340"/>
        <w:gridCol w:w="1757"/>
        <w:gridCol w:w="1757"/>
      </w:tblGrid>
      <w:tr w:rsidR="004C2809">
        <w:tc>
          <w:tcPr>
            <w:tcW w:w="9070" w:type="dxa"/>
            <w:gridSpan w:val="5"/>
          </w:tcPr>
          <w:p w:rsidR="004C2809" w:rsidRDefault="004C2809">
            <w:pPr>
              <w:pStyle w:val="ConsPlusNormal"/>
              <w:jc w:val="center"/>
              <w:outlineLvl w:val="2"/>
            </w:pPr>
            <w:r>
              <w:lastRenderedPageBreak/>
              <w:t>Данные транспортного средства</w:t>
            </w:r>
          </w:p>
        </w:tc>
      </w:tr>
      <w:tr w:rsidR="004C2809">
        <w:tc>
          <w:tcPr>
            <w:tcW w:w="4082" w:type="dxa"/>
          </w:tcPr>
          <w:p w:rsidR="004C2809" w:rsidRDefault="004C2809">
            <w:pPr>
              <w:pStyle w:val="ConsPlusNormal"/>
              <w:jc w:val="both"/>
            </w:pPr>
            <w:r>
              <w:t>Масса без нагрузки:</w:t>
            </w:r>
          </w:p>
        </w:tc>
        <w:tc>
          <w:tcPr>
            <w:tcW w:w="4988" w:type="dxa"/>
            <w:gridSpan w:val="4"/>
          </w:tcPr>
          <w:p w:rsidR="004C2809" w:rsidRDefault="004C2809">
            <w:pPr>
              <w:pStyle w:val="ConsPlusNormal"/>
              <w:jc w:val="both"/>
            </w:pPr>
            <w:r>
              <w:t>Разрешенная максимальная масса:</w:t>
            </w:r>
          </w:p>
        </w:tc>
      </w:tr>
      <w:tr w:rsidR="004C2809">
        <w:tc>
          <w:tcPr>
            <w:tcW w:w="4082" w:type="dxa"/>
          </w:tcPr>
          <w:p w:rsidR="004C2809" w:rsidRDefault="004C2809">
            <w:pPr>
              <w:pStyle w:val="ConsPlusNormal"/>
              <w:jc w:val="both"/>
            </w:pPr>
            <w:r>
              <w:t>Тип топлива:</w:t>
            </w:r>
          </w:p>
        </w:tc>
        <w:tc>
          <w:tcPr>
            <w:tcW w:w="4988" w:type="dxa"/>
            <w:gridSpan w:val="4"/>
          </w:tcPr>
          <w:p w:rsidR="004C2809" w:rsidRDefault="004C2809">
            <w:pPr>
              <w:pStyle w:val="ConsPlusNormal"/>
              <w:jc w:val="both"/>
            </w:pPr>
            <w:r>
              <w:t>Пробег ТС:</w:t>
            </w:r>
          </w:p>
        </w:tc>
      </w:tr>
      <w:tr w:rsidR="004C2809">
        <w:tc>
          <w:tcPr>
            <w:tcW w:w="4082" w:type="dxa"/>
          </w:tcPr>
          <w:p w:rsidR="004C2809" w:rsidRDefault="004C2809">
            <w:pPr>
              <w:pStyle w:val="ConsPlusNormal"/>
              <w:jc w:val="both"/>
            </w:pPr>
            <w:r>
              <w:t>Тип тормозной системы:</w:t>
            </w:r>
          </w:p>
        </w:tc>
        <w:tc>
          <w:tcPr>
            <w:tcW w:w="4988" w:type="dxa"/>
            <w:gridSpan w:val="4"/>
          </w:tcPr>
          <w:p w:rsidR="004C2809" w:rsidRDefault="004C2809">
            <w:pPr>
              <w:pStyle w:val="ConsPlusNormal"/>
              <w:jc w:val="both"/>
            </w:pPr>
            <w:r>
              <w:t>Марка шин: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4082" w:type="dxa"/>
            <w:tcBorders>
              <w:bottom w:val="nil"/>
            </w:tcBorders>
          </w:tcPr>
          <w:p w:rsidR="004C2809" w:rsidRDefault="004C2809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4C2809" w:rsidRDefault="004C2809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4988" w:type="dxa"/>
            <w:gridSpan w:val="4"/>
            <w:tcBorders>
              <w:bottom w:val="nil"/>
            </w:tcBorders>
          </w:tcPr>
          <w:p w:rsidR="004C2809" w:rsidRDefault="004C2809">
            <w:pPr>
              <w:pStyle w:val="ConsPlusNormal"/>
            </w:pPr>
            <w:r>
              <w:t>Сведения по газобаллонному оборудованию</w:t>
            </w:r>
          </w:p>
          <w:p w:rsidR="004C2809" w:rsidRDefault="004C2809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4988" w:type="dxa"/>
            <w:gridSpan w:val="4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4082" w:type="dxa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4988" w:type="dxa"/>
            <w:gridSpan w:val="4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V w:val="nil"/>
          </w:tblBorders>
        </w:tblPrEx>
        <w:tc>
          <w:tcPr>
            <w:tcW w:w="5216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4C2809" w:rsidRDefault="004C2809">
            <w:pPr>
              <w:pStyle w:val="ConsPlusNormal"/>
            </w:pPr>
            <w:r>
              <w:t>Заключение о соответствии или несоответствии транспортного средства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</w:tc>
        <w:tc>
          <w:tcPr>
            <w:tcW w:w="340" w:type="dxa"/>
            <w:tcBorders>
              <w:bottom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757" w:type="dxa"/>
          </w:tcPr>
          <w:p w:rsidR="004C2809" w:rsidRDefault="004C2809">
            <w:pPr>
              <w:pStyle w:val="ConsPlusNormal"/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5216" w:type="dxa"/>
            <w:gridSpan w:val="2"/>
            <w:vMerge/>
            <w:tcBorders>
              <w:bottom w:val="nil"/>
              <w:right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4C2809" w:rsidRDefault="004C2809">
            <w:pPr>
              <w:pStyle w:val="ConsPlusNormal"/>
              <w:jc w:val="center"/>
            </w:pPr>
            <w:r>
              <w:t xml:space="preserve">Соответствует </w:t>
            </w:r>
            <w:proofErr w:type="spellStart"/>
            <w:r>
              <w:t>Passed</w:t>
            </w:r>
            <w:proofErr w:type="spellEnd"/>
          </w:p>
        </w:tc>
        <w:tc>
          <w:tcPr>
            <w:tcW w:w="1757" w:type="dxa"/>
            <w:vAlign w:val="center"/>
          </w:tcPr>
          <w:p w:rsidR="004C2809" w:rsidRDefault="004C2809">
            <w:pPr>
              <w:pStyle w:val="ConsPlusNormal"/>
              <w:jc w:val="center"/>
            </w:pPr>
            <w:r>
              <w:t xml:space="preserve">Не соответствует </w:t>
            </w:r>
            <w:proofErr w:type="spellStart"/>
            <w:r>
              <w:t>Failed</w:t>
            </w:r>
            <w:proofErr w:type="spellEnd"/>
          </w:p>
        </w:tc>
      </w:tr>
      <w:tr w:rsidR="004C2809" w:rsidRPr="00CE33A4">
        <w:tblPrEx>
          <w:tblBorders>
            <w:insideH w:val="nil"/>
            <w:insideV w:val="nil"/>
          </w:tblBorders>
        </w:tblPrEx>
        <w:tc>
          <w:tcPr>
            <w:tcW w:w="5216" w:type="dxa"/>
            <w:gridSpan w:val="2"/>
            <w:tcBorders>
              <w:top w:val="nil"/>
              <w:left w:val="single" w:sz="4" w:space="0" w:color="auto"/>
            </w:tcBorders>
          </w:tcPr>
          <w:p w:rsidR="004C2809" w:rsidRPr="00CE33A4" w:rsidRDefault="004C2809">
            <w:pPr>
              <w:pStyle w:val="ConsPlusNormal"/>
              <w:jc w:val="both"/>
              <w:rPr>
                <w:lang w:val="en-US"/>
              </w:rPr>
            </w:pPr>
            <w:r w:rsidRPr="00CE33A4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top w:val="nil"/>
            </w:tcBorders>
          </w:tcPr>
          <w:p w:rsidR="004C2809" w:rsidRPr="00CE33A4" w:rsidRDefault="004C2809">
            <w:pPr>
              <w:pStyle w:val="ConsPlusNormal"/>
              <w:rPr>
                <w:lang w:val="en-US"/>
              </w:rPr>
            </w:pPr>
          </w:p>
        </w:tc>
        <w:tc>
          <w:tcPr>
            <w:tcW w:w="1757" w:type="dxa"/>
          </w:tcPr>
          <w:p w:rsidR="004C2809" w:rsidRPr="00CE33A4" w:rsidRDefault="004C2809">
            <w:pPr>
              <w:pStyle w:val="ConsPlusNormal"/>
              <w:rPr>
                <w:lang w:val="en-US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C2809" w:rsidRPr="00CE33A4" w:rsidRDefault="004C2809">
            <w:pPr>
              <w:pStyle w:val="ConsPlusNormal"/>
              <w:rPr>
                <w:lang w:val="en-US"/>
              </w:rPr>
            </w:pPr>
          </w:p>
        </w:tc>
      </w:tr>
    </w:tbl>
    <w:p w:rsidR="004C2809" w:rsidRPr="00CE33A4" w:rsidRDefault="004C2809">
      <w:pPr>
        <w:pStyle w:val="ConsPlusNormal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27"/>
        <w:gridCol w:w="1644"/>
      </w:tblGrid>
      <w:tr w:rsidR="004C280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4C2809" w:rsidRDefault="004C2809">
            <w:pPr>
              <w:pStyle w:val="ConsPlusNormal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1644" w:type="dxa"/>
            <w:tcBorders>
              <w:top w:val="single" w:sz="4" w:space="0" w:color="auto"/>
              <w:bottom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7427" w:type="dxa"/>
            <w:tcBorders>
              <w:top w:val="single" w:sz="4" w:space="0" w:color="auto"/>
              <w:bottom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</w:tcPr>
          <w:p w:rsidR="004C2809" w:rsidRDefault="004C2809">
            <w:pPr>
              <w:pStyle w:val="ConsPlusNormal"/>
            </w:pPr>
          </w:p>
        </w:tc>
      </w:tr>
    </w:tbl>
    <w:p w:rsidR="004C2809" w:rsidRDefault="004C28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340"/>
        <w:gridCol w:w="340"/>
        <w:gridCol w:w="340"/>
        <w:gridCol w:w="340"/>
        <w:gridCol w:w="340"/>
        <w:gridCol w:w="340"/>
        <w:gridCol w:w="340"/>
        <w:gridCol w:w="340"/>
        <w:gridCol w:w="397"/>
        <w:gridCol w:w="2211"/>
        <w:gridCol w:w="346"/>
        <w:gridCol w:w="346"/>
        <w:gridCol w:w="346"/>
        <w:gridCol w:w="346"/>
        <w:gridCol w:w="346"/>
        <w:gridCol w:w="346"/>
        <w:gridCol w:w="346"/>
        <w:gridCol w:w="346"/>
        <w:gridCol w:w="347"/>
      </w:tblGrid>
      <w:tr w:rsidR="004C2809">
        <w:tc>
          <w:tcPr>
            <w:tcW w:w="624" w:type="dxa"/>
          </w:tcPr>
          <w:p w:rsidR="004C2809" w:rsidRDefault="004C2809">
            <w:pPr>
              <w:pStyle w:val="ConsPlusNormal"/>
              <w:jc w:val="both"/>
            </w:pPr>
            <w:r>
              <w:t>Дата:</w:t>
            </w: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0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97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4C2809" w:rsidRDefault="004C2809">
            <w:pPr>
              <w:pStyle w:val="ConsPlusNormal"/>
            </w:pPr>
            <w:r>
              <w:t xml:space="preserve">Повторный технический осмотр провести </w:t>
            </w:r>
            <w:proofErr w:type="gramStart"/>
            <w:r>
              <w:t>до</w:t>
            </w:r>
            <w:proofErr w:type="gramEnd"/>
            <w:r>
              <w:t>:</w:t>
            </w: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6" w:type="dxa"/>
            <w:vAlign w:val="center"/>
          </w:tcPr>
          <w:p w:rsidR="004C2809" w:rsidRDefault="004C2809">
            <w:pPr>
              <w:pStyle w:val="ConsPlusNormal"/>
            </w:pPr>
          </w:p>
        </w:tc>
        <w:tc>
          <w:tcPr>
            <w:tcW w:w="347" w:type="dxa"/>
            <w:vAlign w:val="center"/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9067" w:type="dxa"/>
            <w:gridSpan w:val="20"/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blPrEx>
          <w:tblBorders>
            <w:insideH w:val="nil"/>
          </w:tblBorders>
        </w:tblPrEx>
        <w:tc>
          <w:tcPr>
            <w:tcW w:w="3004" w:type="dxa"/>
            <w:gridSpan w:val="8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Подпись</w:t>
            </w:r>
          </w:p>
        </w:tc>
        <w:tc>
          <w:tcPr>
            <w:tcW w:w="6063" w:type="dxa"/>
            <w:gridSpan w:val="12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 xml:space="preserve">Печать </w:t>
            </w:r>
            <w:hyperlink w:anchor="P442">
              <w:r>
                <w:rPr>
                  <w:color w:val="0000FF"/>
                </w:rPr>
                <w:t>&lt;2&gt;</w:t>
              </w:r>
            </w:hyperlink>
          </w:p>
        </w:tc>
      </w:tr>
      <w:tr w:rsidR="004C2809">
        <w:tblPrEx>
          <w:tblBorders>
            <w:insideH w:val="nil"/>
          </w:tblBorders>
        </w:tblPrEx>
        <w:tc>
          <w:tcPr>
            <w:tcW w:w="3004" w:type="dxa"/>
            <w:gridSpan w:val="8"/>
            <w:tcBorders>
              <w:top w:val="nil"/>
            </w:tcBorders>
          </w:tcPr>
          <w:p w:rsidR="004C2809" w:rsidRDefault="004C2809">
            <w:pPr>
              <w:pStyle w:val="ConsPlusNormal"/>
              <w:jc w:val="both"/>
            </w:pPr>
            <w:proofErr w:type="spellStart"/>
            <w:r>
              <w:t>Signature</w:t>
            </w:r>
            <w:proofErr w:type="spellEnd"/>
          </w:p>
        </w:tc>
        <w:tc>
          <w:tcPr>
            <w:tcW w:w="6063" w:type="dxa"/>
            <w:gridSpan w:val="12"/>
            <w:tcBorders>
              <w:top w:val="nil"/>
            </w:tcBorders>
          </w:tcPr>
          <w:p w:rsidR="004C2809" w:rsidRDefault="004C2809">
            <w:pPr>
              <w:pStyle w:val="ConsPlusNormal"/>
              <w:jc w:val="both"/>
            </w:pPr>
            <w:proofErr w:type="spellStart"/>
            <w:r>
              <w:t>Stamp</w:t>
            </w:r>
            <w:proofErr w:type="spellEnd"/>
          </w:p>
        </w:tc>
      </w:tr>
      <w:tr w:rsidR="004C280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bottom w:val="nil"/>
            </w:tcBorders>
          </w:tcPr>
          <w:p w:rsidR="004C2809" w:rsidRDefault="004C2809">
            <w:pPr>
              <w:pStyle w:val="ConsPlusNormal"/>
              <w:jc w:val="both"/>
            </w:pPr>
            <w:r>
              <w:t>Ф.И.О. сотрудника Госавтоинспекции</w:t>
            </w:r>
          </w:p>
        </w:tc>
      </w:tr>
      <w:tr w:rsidR="004C2809">
        <w:tblPrEx>
          <w:tblBorders>
            <w:insideH w:val="nil"/>
          </w:tblBorders>
        </w:tblPrEx>
        <w:tc>
          <w:tcPr>
            <w:tcW w:w="9067" w:type="dxa"/>
            <w:gridSpan w:val="20"/>
            <w:tcBorders>
              <w:top w:val="nil"/>
            </w:tcBorders>
          </w:tcPr>
          <w:p w:rsidR="004C2809" w:rsidRDefault="004C2809">
            <w:pPr>
              <w:pStyle w:val="ConsPlusNormal"/>
            </w:pPr>
          </w:p>
        </w:tc>
      </w:tr>
      <w:tr w:rsidR="004C2809">
        <w:tc>
          <w:tcPr>
            <w:tcW w:w="9067" w:type="dxa"/>
            <w:gridSpan w:val="20"/>
          </w:tcPr>
          <w:p w:rsidR="004C2809" w:rsidRDefault="004C2809">
            <w:pPr>
              <w:pStyle w:val="ConsPlusNormal"/>
              <w:jc w:val="both"/>
            </w:pPr>
            <w:r>
              <w:t>Подпись</w:t>
            </w:r>
          </w:p>
          <w:p w:rsidR="004C2809" w:rsidRDefault="004C2809">
            <w:pPr>
              <w:pStyle w:val="ConsPlusNormal"/>
              <w:jc w:val="both"/>
            </w:pPr>
            <w:proofErr w:type="spellStart"/>
            <w:r>
              <w:t>Signature</w:t>
            </w:r>
            <w:proofErr w:type="spellEnd"/>
          </w:p>
        </w:tc>
      </w:tr>
    </w:tbl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ind w:firstLine="540"/>
        <w:jc w:val="both"/>
      </w:pPr>
      <w:r>
        <w:t>--------------------------------</w:t>
      </w:r>
    </w:p>
    <w:p w:rsidR="004C2809" w:rsidRDefault="004C2809">
      <w:pPr>
        <w:pStyle w:val="ConsPlusNormal"/>
        <w:spacing w:before="220"/>
        <w:ind w:firstLine="540"/>
        <w:jc w:val="both"/>
      </w:pPr>
      <w:bookmarkStart w:id="8" w:name="P441"/>
      <w:bookmarkEnd w:id="8"/>
      <w:proofErr w:type="gramStart"/>
      <w:r>
        <w:t xml:space="preserve">&lt;1&gt; Нумерация строк соответствует нумерации обязательных </w:t>
      </w:r>
      <w:hyperlink r:id="rId23">
        <w:r>
          <w:rPr>
            <w:color w:val="0000FF"/>
          </w:rPr>
          <w:t>требований</w:t>
        </w:r>
      </w:hyperlink>
      <w:r>
        <w:t xml:space="preserve"> безопасности, предъявляемых к транспортным средствам при проведении технического осмотра отдельных категорий, указанных в приложении к Правилам проведения технического осмотра транспортных средств, утвержденным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  <w:proofErr w:type="gramEnd"/>
    </w:p>
    <w:p w:rsidR="004C2809" w:rsidRDefault="004C2809">
      <w:pPr>
        <w:pStyle w:val="ConsPlusNormal"/>
        <w:spacing w:before="220"/>
        <w:ind w:firstLine="540"/>
        <w:jc w:val="both"/>
      </w:pPr>
      <w:bookmarkStart w:id="9" w:name="P442"/>
      <w:bookmarkEnd w:id="9"/>
      <w:r>
        <w:t>&lt;2&gt; Печать оператора технического осмотра проставляется в случае выдачи диагностической карты на бумажном носителе.</w:t>
      </w:r>
    </w:p>
    <w:p w:rsidR="004C2809" w:rsidRDefault="004C2809">
      <w:pPr>
        <w:pStyle w:val="ConsPlusNormal"/>
        <w:ind w:firstLine="540"/>
        <w:jc w:val="both"/>
      </w:pPr>
    </w:p>
    <w:p w:rsidR="004C2809" w:rsidRDefault="004C2809">
      <w:pPr>
        <w:pStyle w:val="ConsPlusNormal"/>
        <w:jc w:val="both"/>
      </w:pPr>
    </w:p>
    <w:p w:rsidR="004C2809" w:rsidRDefault="004C28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7D03" w:rsidRDefault="00667D03"/>
    <w:sectPr w:rsidR="00667D03" w:rsidSect="00DF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809"/>
    <w:rsid w:val="004C2809"/>
    <w:rsid w:val="00667D03"/>
    <w:rsid w:val="00CE33A4"/>
    <w:rsid w:val="00FD0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28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28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28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49201" TargetMode="External"/><Relationship Id="rId13" Type="http://schemas.openxmlformats.org/officeDocument/2006/relationships/hyperlink" Target="https://login.consultant.ru/link/?req=doc&amp;base=LAW&amp;n=464298&amp;dst=100013" TargetMode="External"/><Relationship Id="rId18" Type="http://schemas.openxmlformats.org/officeDocument/2006/relationships/hyperlink" Target="https://login.consultant.ru/link/?req=doc&amp;base=LAW&amp;n=464209&amp;dst=1000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2919&amp;dst=100199" TargetMode="External"/><Relationship Id="rId7" Type="http://schemas.openxmlformats.org/officeDocument/2006/relationships/hyperlink" Target="https://login.consultant.ru/link/?req=doc&amp;base=LAW&amp;n=452919&amp;dst=40" TargetMode="External"/><Relationship Id="rId12" Type="http://schemas.openxmlformats.org/officeDocument/2006/relationships/hyperlink" Target="https://login.consultant.ru/link/?req=doc&amp;base=LAW&amp;n=464209&amp;dst=100009" TargetMode="External"/><Relationship Id="rId17" Type="http://schemas.openxmlformats.org/officeDocument/2006/relationships/hyperlink" Target="https://login.consultant.ru/link/?req=doc&amp;base=LAW&amp;n=464209&amp;dst=10001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4209&amp;dst=100012" TargetMode="External"/><Relationship Id="rId20" Type="http://schemas.openxmlformats.org/officeDocument/2006/relationships/hyperlink" Target="https://login.consultant.ru/link/?req=doc&amp;base=LAW&amp;n=464298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209&amp;dst=100009" TargetMode="External"/><Relationship Id="rId11" Type="http://schemas.openxmlformats.org/officeDocument/2006/relationships/hyperlink" Target="https://login.consultant.ru/link/?req=doc&amp;base=LAW&amp;n=411236&amp;dst=10001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1236&amp;dst=100017" TargetMode="External"/><Relationship Id="rId15" Type="http://schemas.openxmlformats.org/officeDocument/2006/relationships/hyperlink" Target="https://login.consultant.ru/link/?req=doc&amp;base=LAW&amp;n=464209&amp;dst=100010" TargetMode="External"/><Relationship Id="rId23" Type="http://schemas.openxmlformats.org/officeDocument/2006/relationships/hyperlink" Target="https://login.consultant.ru/link/?req=doc&amp;base=LAW&amp;n=464298&amp;dst=100051" TargetMode="External"/><Relationship Id="rId10" Type="http://schemas.openxmlformats.org/officeDocument/2006/relationships/hyperlink" Target="https://login.consultant.ru/link/?req=doc&amp;base=LAW&amp;n=464298&amp;dst=101443" TargetMode="External"/><Relationship Id="rId19" Type="http://schemas.openxmlformats.org/officeDocument/2006/relationships/hyperlink" Target="https://login.consultant.ru/link/?req=doc&amp;base=LAW&amp;n=464298&amp;dst=100051" TargetMode="External"/><Relationship Id="rId4" Type="http://schemas.openxmlformats.org/officeDocument/2006/relationships/hyperlink" Target="https://login.consultant.ru/link/?req=doc&amp;base=LAW&amp;n=464298&amp;dst=101443" TargetMode="External"/><Relationship Id="rId9" Type="http://schemas.openxmlformats.org/officeDocument/2006/relationships/hyperlink" Target="https://login.consultant.ru/link/?req=doc&amp;base=LAW&amp;n=411236&amp;dst=100018" TargetMode="External"/><Relationship Id="rId14" Type="http://schemas.openxmlformats.org/officeDocument/2006/relationships/hyperlink" Target="https://login.consultant.ru/link/?req=doc&amp;base=LAW&amp;n=464298&amp;dst=101444" TargetMode="External"/><Relationship Id="rId22" Type="http://schemas.openxmlformats.org/officeDocument/2006/relationships/hyperlink" Target="https://login.consultant.ru/link/?req=doc&amp;base=LAW&amp;n=411236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Анна</cp:lastModifiedBy>
  <cp:revision>2</cp:revision>
  <dcterms:created xsi:type="dcterms:W3CDTF">2025-07-18T10:14:00Z</dcterms:created>
  <dcterms:modified xsi:type="dcterms:W3CDTF">2025-07-18T10:14:00Z</dcterms:modified>
</cp:coreProperties>
</file>